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附件4：</w:t>
      </w:r>
    </w:p>
    <w:p>
      <w:pPr>
        <w:rPr>
          <w:rFonts w:ascii="仿宋" w:hAnsi="仿宋" w:eastAsia="仿宋" w:cs="宋体"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ascii="方正大标宋简体" w:hAnsi="宋体" w:eastAsia="方正大标宋简体" w:cs="宋体"/>
          <w:color w:val="000000"/>
          <w:sz w:val="44"/>
          <w:szCs w:val="44"/>
        </w:rPr>
      </w:pPr>
      <w:r>
        <w:rPr>
          <w:rFonts w:hint="eastAsia" w:ascii="方正大标宋简体" w:hAnsi="宋体" w:eastAsia="方正大标宋简体" w:cs="宋体"/>
          <w:color w:val="000000"/>
          <w:sz w:val="44"/>
          <w:szCs w:val="44"/>
        </w:rPr>
        <w:t>创业计划书书写框架</w:t>
      </w:r>
    </w:p>
    <w:p>
      <w:pPr>
        <w:spacing w:line="480" w:lineRule="exact"/>
        <w:jc w:val="center"/>
        <w:rPr>
          <w:rFonts w:ascii="方正小标宋简体" w:hAnsi="仿宋" w:eastAsia="方正小标宋简体" w:cs="Times New Roman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创业计划书的10个章节与1个附录（仅供参考）: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一、项目简介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二、项目背景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三、产品技术或服务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四、市场需求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五、营销策略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六、公司管理（团队简介）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七、融资分析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八、财务分析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九、风险分析</w:t>
      </w:r>
    </w:p>
    <w:p>
      <w:pPr>
        <w:spacing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十、风险资本的退出</w:t>
      </w:r>
    </w:p>
    <w:p>
      <w:r>
        <w:rPr>
          <w:rFonts w:hint="eastAsia" w:ascii="仿宋" w:hAnsi="仿宋" w:eastAsia="仿宋" w:cs="仿宋_GB2312"/>
          <w:sz w:val="32"/>
          <w:szCs w:val="32"/>
        </w:rPr>
        <w:t>十一、附录（专利证书、核心期刊发表论文、重大获奖等）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NzQ5NTIyYTdjZGRkYWY5OGZmZDFlMTFlZDYwZGEifQ=="/>
  </w:docVars>
  <w:rsids>
    <w:rsidRoot w:val="56656DAE"/>
    <w:rsid w:val="566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2023-12-07T05:06:00Z</dcterms:created>
  <dc:creator>祁玖</dc:creator>
  <cp:lastModifiedBy>祁玖</cp:lastModifiedBy>
  <dcterms:modified xsi:type="dcterms:W3CDTF">2023-12-07T05:06:36Z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820A7D54D42046859A4391DDE09C14D8_11</vt:lpwstr>
  </property>
</Properties>
</file>